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2">
      <w:pPr>
        <w:jc w:val="center"/>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r w:rsidDel="00000000" w:rsidR="00000000" w:rsidRPr="00000000">
        <w:rPr>
          <w:b w:val="1"/>
          <w:smallCaps w:val="1"/>
          <w:rtl w:val="0"/>
        </w:rPr>
        <w:t xml:space="preserve">GOVERNMENT PROPERTY AGENCY </w:t>
      </w:r>
    </w:p>
    <w:p w:rsidR="00000000" w:rsidDel="00000000" w:rsidP="00000000" w:rsidRDefault="00000000" w:rsidRPr="00000000" w14:paraId="00000004">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SUPPLIER</w:t>
      </w:r>
    </w:p>
    <w:p w:rsidR="00000000" w:rsidDel="00000000" w:rsidP="00000000" w:rsidRDefault="00000000" w:rsidRPr="00000000" w14:paraId="00000006">
      <w:pPr>
        <w:spacing w:before="240" w:lineRule="auto"/>
        <w:ind w:left="2858" w:firstLine="21.000000000000227"/>
        <w:rPr>
          <w:b w:val="1"/>
          <w:color w:val="222222"/>
          <w:highlight w:val="white"/>
        </w:rPr>
      </w:pPr>
      <w:r w:rsidDel="00000000" w:rsidR="00000000" w:rsidRPr="00000000">
        <w:rPr>
          <w:b w:val="1"/>
          <w:color w:val="222222"/>
          <w:highlight w:val="white"/>
          <w:rtl w:val="0"/>
        </w:rPr>
        <w:t xml:space="preserve">WORKPLACE SERVICES CONTRACT</w:t>
      </w:r>
    </w:p>
    <w:p w:rsidR="00000000" w:rsidDel="00000000" w:rsidP="00000000" w:rsidRDefault="00000000" w:rsidRPr="00000000" w14:paraId="00000007">
      <w:pPr>
        <w:rPr>
          <w:b w:val="1"/>
          <w:smallCaps w:val="1"/>
        </w:rPr>
      </w:pPr>
      <w:r w:rsidDel="00000000" w:rsidR="00000000" w:rsidRPr="00000000">
        <w:rPr>
          <w:rtl w:val="0"/>
        </w:rPr>
      </w:r>
    </w:p>
    <w:p w:rsidR="00000000" w:rsidDel="00000000" w:rsidP="00000000" w:rsidRDefault="00000000" w:rsidRPr="00000000" w14:paraId="00000008">
      <w:pPr>
        <w:rPr>
          <w:b w:val="1"/>
          <w:smallCaps w:val="1"/>
        </w:rPr>
      </w:pPr>
      <w:r w:rsidDel="00000000" w:rsidR="00000000" w:rsidRPr="00000000">
        <w:rPr>
          <w:rtl w:val="0"/>
        </w:rPr>
      </w:r>
    </w:p>
    <w:p w:rsidR="00000000" w:rsidDel="00000000" w:rsidP="00000000" w:rsidRDefault="00000000" w:rsidRPr="00000000" w14:paraId="00000009">
      <w:pPr>
        <w:rPr>
          <w:b w:val="1"/>
          <w:smallCaps w:val="1"/>
        </w:rPr>
      </w:pPr>
      <w:r w:rsidDel="00000000" w:rsidR="00000000" w:rsidRPr="00000000">
        <w:rPr>
          <w:rtl w:val="0"/>
        </w:rPr>
      </w:r>
    </w:p>
    <w:p w:rsidR="00000000" w:rsidDel="00000000" w:rsidP="00000000" w:rsidRDefault="00000000" w:rsidRPr="00000000" w14:paraId="0000000A">
      <w:pPr>
        <w:rPr>
          <w:b w:val="1"/>
          <w:smallCaps w:val="1"/>
        </w:rPr>
      </w:pPr>
      <w:r w:rsidDel="00000000" w:rsidR="00000000" w:rsidRPr="00000000">
        <w:rPr>
          <w:rtl w:val="0"/>
        </w:rPr>
      </w:r>
    </w:p>
    <w:p w:rsidR="00000000" w:rsidDel="00000000" w:rsidP="00000000" w:rsidRDefault="00000000" w:rsidRPr="00000000" w14:paraId="0000000B">
      <w:pPr>
        <w:rPr>
          <w:b w:val="1"/>
          <w:smallCaps w:val="1"/>
        </w:rPr>
      </w:pPr>
      <w:r w:rsidDel="00000000" w:rsidR="00000000" w:rsidRPr="00000000">
        <w:rPr>
          <w:b w:val="1"/>
          <w:smallCaps w:val="1"/>
          <w:shd w:fill="fff2cc" w:val="clear"/>
          <w:rtl w:val="0"/>
        </w:rPr>
        <w:t xml:space="preserve">Areas highlighted in yellow have been updated to reflect the Buyers requirements</w:t>
      </w:r>
      <w:r w:rsidDel="00000000" w:rsidR="00000000" w:rsidRPr="00000000">
        <w:br w:type="page"/>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w:t>
      </w:r>
      <w:r w:rsidDel="00000000" w:rsidR="00000000" w:rsidRPr="00000000">
        <w:rPr>
          <w:b w:val="1"/>
          <w:smallCaps w:val="1"/>
          <w:rtl w:val="0"/>
        </w:rPr>
        <w:t xml:space="preserve">18</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b w:val="1"/>
          <w:smallCaps w:val="1"/>
          <w:color w:val="000000"/>
        </w:rPr>
      </w:pPr>
      <w:r w:rsidDel="00000000" w:rsidR="00000000" w:rsidRPr="00000000">
        <w:rPr>
          <w:b w:val="1"/>
          <w:smallCaps w:val="1"/>
          <w:color w:val="000000"/>
          <w:rtl w:val="0"/>
        </w:rPr>
        <w:t xml:space="preserve">BACKGROUND CHECKS</w:t>
      </w:r>
    </w:p>
    <w:p w:rsidR="00000000" w:rsidDel="00000000" w:rsidP="00000000" w:rsidRDefault="00000000" w:rsidRPr="00000000" w14:paraId="0000000E">
      <w:pPr>
        <w:tabs>
          <w:tab w:val="left" w:pos="1251"/>
        </w:tabs>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b w:val="1"/>
          <w:color w:val="000000"/>
        </w:rPr>
      </w:pPr>
      <w:r w:rsidDel="00000000" w:rsidR="00000000" w:rsidRPr="00000000">
        <w:rPr>
          <w:b w:val="1"/>
          <w:color w:val="000000"/>
          <w:rtl w:val="0"/>
        </w:rPr>
        <w:t xml:space="preserve">When you should use this Schedule</w:t>
      </w:r>
    </w:p>
    <w:p w:rsidR="00000000" w:rsidDel="00000000" w:rsidP="00000000" w:rsidRDefault="00000000" w:rsidRPr="00000000" w14:paraId="00000010">
      <w:pPr>
        <w:rPr/>
      </w:pPr>
      <w:r w:rsidDel="00000000" w:rsidR="00000000" w:rsidRPr="00000000">
        <w:rPr>
          <w:rtl w:val="0"/>
        </w:rPr>
        <w:t xml:space="preserve">This Schedule should be used where Supplier Staff must be vetted before working on this Contract. </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b w:val="1"/>
          <w:smallCaps w:val="1"/>
          <w:color w:val="000000"/>
        </w:rPr>
      </w:pPr>
      <w:bookmarkStart w:colFirst="0" w:colLast="0" w:name="_heading=h.30j0zll" w:id="0"/>
      <w:bookmarkEnd w:id="0"/>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012">
      <w:pPr>
        <w:ind w:left="720" w:firstLine="0"/>
        <w:rPr/>
      </w:pPr>
      <w:r w:rsidDel="00000000" w:rsidR="00000000" w:rsidRPr="00000000">
        <w:rPr>
          <w:b w:val="1"/>
          <w:rtl w:val="0"/>
        </w:rPr>
        <w:t xml:space="preserve">“Relevant Conviction”</w:t>
      </w:r>
      <w:r w:rsidDel="00000000" w:rsidR="00000000" w:rsidRPr="00000000">
        <w:rPr>
          <w:rtl w:val="0"/>
        </w:rPr>
        <w:t xml:space="preserve"> means </w:t>
      </w:r>
      <w:r w:rsidDel="00000000" w:rsidR="00000000" w:rsidRPr="00000000">
        <w:rPr>
          <w:shd w:fill="fff2cc" w:val="clear"/>
          <w:rtl w:val="0"/>
        </w:rPr>
        <w:t xml:space="preserve"> other than in relation to any minor road traffic offences, any previous prosecutions,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w:t>
      </w:r>
      <w:r w:rsidDel="00000000" w:rsidR="00000000" w:rsidRPr="00000000">
        <w:rPr>
          <w:rtl w:val="0"/>
        </w:rPr>
        <w:t xml:space="preserve">any conviction listed in Annex 1 to this Schedule. </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b w:val="1"/>
          <w:color w:val="000000"/>
        </w:rPr>
      </w:pPr>
      <w:r w:rsidDel="00000000" w:rsidR="00000000" w:rsidRPr="00000000">
        <w:rPr>
          <w:b w:val="1"/>
          <w:color w:val="000000"/>
          <w:rtl w:val="0"/>
        </w:rPr>
        <w:t xml:space="preserve">Relevant Convictions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2127" w:hanging="993"/>
        <w:rPr>
          <w:color w:val="000000"/>
          <w:sz w:val="20"/>
          <w:szCs w:val="20"/>
        </w:rPr>
      </w:pPr>
      <w:bookmarkStart w:colFirst="0" w:colLast="0" w:name="_heading=h.1fob9te" w:id="1"/>
      <w:bookmarkEnd w:id="1"/>
      <w:r w:rsidDel="00000000" w:rsidR="00000000" w:rsidRPr="00000000">
        <w:rPr>
          <w:color w:val="000000"/>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2127" w:hanging="993"/>
        <w:rPr>
          <w:shd w:fill="fff2cc" w:val="clear"/>
        </w:rPr>
      </w:pPr>
      <w:bookmarkStart w:colFirst="0" w:colLast="0" w:name="_heading=h.wsv3bruzvic2" w:id="2"/>
      <w:bookmarkEnd w:id="2"/>
      <w:r w:rsidDel="00000000" w:rsidR="00000000" w:rsidRPr="00000000">
        <w:rPr>
          <w:shd w:fill="fff2cc" w:val="clear"/>
          <w:rtl w:val="0"/>
        </w:rPr>
        <w:t xml:space="preserve">Insofar as permitted by law, the Supplier shall procure that the Buyer is kept advised at all times of any member of Supplier Staff engaged in the provision of the Deliverables: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 w:val="left" w:pos="2127"/>
        </w:tabs>
        <w:spacing w:after="120" w:before="120" w:line="240" w:lineRule="auto"/>
        <w:ind w:left="2125" w:firstLine="0"/>
        <w:rPr>
          <w:shd w:fill="fff2cc" w:val="clear"/>
        </w:rPr>
      </w:pPr>
      <w:bookmarkStart w:colFirst="0" w:colLast="0" w:name="_heading=h.sq0vl6vv21zi" w:id="3"/>
      <w:bookmarkEnd w:id="3"/>
      <w:r w:rsidDel="00000000" w:rsidR="00000000" w:rsidRPr="00000000">
        <w:rPr>
          <w:shd w:fill="fff2cc" w:val="clear"/>
          <w:rtl w:val="0"/>
        </w:rPr>
        <w:tab/>
        <w:t xml:space="preserve">(a) 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 w:val="left" w:pos="2127"/>
        </w:tabs>
        <w:spacing w:after="120" w:before="120" w:line="240" w:lineRule="auto"/>
        <w:ind w:left="2125" w:firstLine="0"/>
        <w:rPr>
          <w:shd w:fill="fff2cc" w:val="clear"/>
        </w:rPr>
      </w:pPr>
      <w:bookmarkStart w:colFirst="0" w:colLast="0" w:name="_heading=h.h314pt7feykz" w:id="4"/>
      <w:bookmarkEnd w:id="4"/>
      <w:r w:rsidDel="00000000" w:rsidR="00000000" w:rsidRPr="00000000">
        <w:rPr>
          <w:shd w:fill="fff2cc" w:val="clear"/>
          <w:rtl w:val="0"/>
        </w:rPr>
        <w:t xml:space="preserve">(b) in respect of whom information is referred to the DBS; and (c) in the event that any Supplier Staff receives a Relevant Conviction the Supplier shall at the request of the Buyer procure that such member of Supplier Staff is removed from the Sites and shall cease to be engaged in the provision of the Deliverables.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1996" w:hanging="862"/>
        <w:rPr>
          <w:shd w:fill="fff2cc" w:val="clear"/>
        </w:rPr>
      </w:pPr>
      <w:bookmarkStart w:colFirst="0" w:colLast="0" w:name="_heading=h.cnexghijv2se" w:id="5"/>
      <w:bookmarkEnd w:id="5"/>
      <w:r w:rsidDel="00000000" w:rsidR="00000000" w:rsidRPr="00000000">
        <w:rPr>
          <w:shd w:fill="fff2cc" w:val="clear"/>
          <w:rtl w:val="0"/>
        </w:rPr>
        <w:t xml:space="preserve">The Supplier shall procure that all Sub-Contractors shall comply with all reporting requirements of the DBS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134"/>
          <w:tab w:val="left" w:pos="2127"/>
        </w:tabs>
        <w:spacing w:after="120" w:before="120" w:line="240" w:lineRule="auto"/>
        <w:ind w:left="2127" w:hanging="993"/>
        <w:rPr>
          <w:color w:val="000000"/>
          <w:sz w:val="20"/>
          <w:szCs w:val="20"/>
        </w:rPr>
      </w:pPr>
      <w:r w:rsidDel="00000000" w:rsidR="00000000" w:rsidRPr="00000000">
        <w:rPr>
          <w:color w:val="000000"/>
          <w:rtl w:val="0"/>
        </w:rPr>
        <w:t xml:space="preserve">Notwithstanding </w:t>
      </w:r>
      <w:r w:rsidDel="00000000" w:rsidR="00000000" w:rsidRPr="00000000">
        <w:rPr>
          <w:color w:val="000000"/>
          <w:shd w:fill="fff2cc" w:val="clear"/>
          <w:rtl w:val="0"/>
        </w:rPr>
        <w:t xml:space="preserve">Paragraphs </w:t>
      </w:r>
      <w:r w:rsidDel="00000000" w:rsidR="00000000" w:rsidRPr="00000000">
        <w:rPr>
          <w:shd w:fill="fff2cc" w:val="clear"/>
          <w:rtl w:val="0"/>
        </w:rPr>
        <w:t xml:space="preserve">3.1.1 and 3.1.4</w:t>
      </w:r>
      <w:r w:rsidDel="00000000" w:rsidR="00000000" w:rsidRPr="00000000">
        <w:rPr>
          <w:color w:val="000000"/>
          <w:rtl w:val="0"/>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color w:val="000000"/>
        </w:rPr>
      </w:pPr>
      <w:r w:rsidDel="00000000" w:rsidR="00000000" w:rsidRPr="00000000">
        <w:rPr>
          <w:color w:val="000000"/>
          <w:rtl w:val="0"/>
        </w:rPr>
        <w:t xml:space="preserve">carry out a check with the records held by the Department for Education (DfE);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color w:val="000000"/>
        </w:rPr>
      </w:pPr>
      <w:r w:rsidDel="00000000" w:rsidR="00000000" w:rsidRPr="00000000">
        <w:rPr>
          <w:color w:val="000000"/>
          <w:rtl w:val="0"/>
        </w:rPr>
        <w:t xml:space="preserve">conduct thorough questioning regarding any Relevant Convictions;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color w:val="000000"/>
        </w:rPr>
      </w:pPr>
      <w:r w:rsidDel="00000000" w:rsidR="00000000" w:rsidRPr="00000000">
        <w:rPr>
          <w:color w:val="000000"/>
          <w:rtl w:val="0"/>
        </w:rPr>
        <w:t xml:space="preserve">ensure a police check is completed and such other checks as may be carried out through the Disclosure and Barring Service (DBS),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2127"/>
        </w:tabs>
        <w:spacing w:after="120" w:before="120" w:line="240" w:lineRule="auto"/>
        <w:ind w:left="2127" w:firstLine="0"/>
        <w:rPr>
          <w:color w:val="000000"/>
        </w:rPr>
      </w:pPr>
      <w:r w:rsidDel="00000000" w:rsidR="00000000" w:rsidRPr="00000000">
        <w:rPr>
          <w:color w:val="000000"/>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1E">
      <w:pPr>
        <w:rPr>
          <w:b w:val="1"/>
          <w:smallCaps w:val="1"/>
        </w:rPr>
      </w:pPr>
      <w:bookmarkStart w:colFirst="0" w:colLast="0" w:name="_heading=h.3znysh7" w:id="6"/>
      <w:bookmarkEnd w:id="6"/>
      <w:r w:rsidDel="00000000" w:rsidR="00000000" w:rsidRPr="00000000">
        <w:br w:type="page"/>
      </w:r>
      <w:r w:rsidDel="00000000" w:rsidR="00000000" w:rsidRPr="00000000">
        <w:rPr>
          <w:rtl w:val="0"/>
        </w:rPr>
      </w:r>
    </w:p>
    <w:p w:rsidR="00000000" w:rsidDel="00000000" w:rsidP="00000000" w:rsidRDefault="00000000" w:rsidRPr="00000000" w14:paraId="0000001F">
      <w:pPr>
        <w:keepNext w:val="1"/>
        <w:rPr>
          <w:b w:val="1"/>
        </w:rPr>
      </w:pPr>
      <w:r w:rsidDel="00000000" w:rsidR="00000000" w:rsidRPr="00000000">
        <w:rPr>
          <w:rtl w:val="0"/>
        </w:rPr>
      </w:r>
    </w:p>
    <w:p w:rsidR="00000000" w:rsidDel="00000000" w:rsidP="00000000" w:rsidRDefault="00000000" w:rsidRPr="00000000" w14:paraId="00000020">
      <w:pPr>
        <w:keepNext w:val="1"/>
        <w:rPr>
          <w:b w:val="1"/>
        </w:rPr>
      </w:pPr>
      <w:r w:rsidDel="00000000" w:rsidR="00000000" w:rsidRPr="00000000">
        <w:rPr>
          <w:b w:val="1"/>
          <w:rtl w:val="0"/>
        </w:rPr>
        <w:t xml:space="preserve">Annex 1 – Relevant Convictions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Relevant Convictions include all unspent convictions assessed in accordance with the timelines set out in The Rehabilitation of Offenders Act 1974. (or any replacement or amendment) as detailed in the tables below:</w:t>
      </w:r>
    </w:p>
    <w:tbl>
      <w:tblPr>
        <w:tblStyle w:val="Table1"/>
        <w:tblW w:w="97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0"/>
        <w:gridCol w:w="3090"/>
        <w:gridCol w:w="2430"/>
        <w:gridCol w:w="2673"/>
        <w:tblGridChange w:id="0">
          <w:tblGrid>
            <w:gridCol w:w="1530"/>
            <w:gridCol w:w="3090"/>
            <w:gridCol w:w="2430"/>
            <w:gridCol w:w="2673"/>
          </w:tblGrid>
        </w:tblGridChange>
      </w:tblGrid>
      <w:tr>
        <w:trPr>
          <w:cantSplit w:val="0"/>
          <w:tblHeader w:val="0"/>
        </w:trPr>
        <w:tc>
          <w:tcPr>
            <w:gridSpan w:val="4"/>
            <w:tcBorders>
              <w:top w:color="000000" w:space="0" w:sz="0" w:val="nil"/>
              <w:left w:color="000000" w:space="0" w:sz="0" w:val="nil"/>
              <w:right w:color="000000" w:space="0" w:sz="0" w:val="nil"/>
            </w:tcBorders>
          </w:tcPr>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color w:val="0070c0"/>
                <w:sz w:val="24"/>
                <w:szCs w:val="24"/>
                <w:rtl w:val="0"/>
              </w:rPr>
              <w:t xml:space="preserve">Prison sentence &amp; Community orders (with a buffer period)</w:t>
            </w:r>
            <w:r w:rsidDel="00000000" w:rsidR="00000000" w:rsidRPr="00000000">
              <w:rPr>
                <w:rtl w:val="0"/>
              </w:rPr>
            </w:r>
          </w:p>
        </w:tc>
      </w:tr>
      <w:tr>
        <w:trPr>
          <w:cantSplit w:val="0"/>
          <w:tblHeader w:val="0"/>
        </w:trPr>
        <w:tc>
          <w:tcPr>
            <w:gridSpan w:val="2"/>
            <w:vMerge w:val="restart"/>
            <w:shd w:fill="4f81bd" w:val="clear"/>
            <w:vAlign w:val="center"/>
          </w:tcPr>
          <w:p w:rsidR="00000000" w:rsidDel="00000000" w:rsidP="00000000" w:rsidRDefault="00000000" w:rsidRPr="00000000" w14:paraId="00000027">
            <w:pPr>
              <w:rPr>
                <w:rFonts w:ascii="Arial" w:cs="Arial" w:eastAsia="Arial" w:hAnsi="Arial"/>
                <w:b w:val="1"/>
                <w:color w:val="ffffff"/>
              </w:rPr>
            </w:pPr>
            <w:r w:rsidDel="00000000" w:rsidR="00000000" w:rsidRPr="00000000">
              <w:rPr>
                <w:rFonts w:ascii="Arial" w:cs="Arial" w:eastAsia="Arial" w:hAnsi="Arial"/>
                <w:b w:val="1"/>
                <w:color w:val="ffffff"/>
                <w:rtl w:val="0"/>
              </w:rPr>
              <w:t xml:space="preserve">Sentence</w:t>
            </w:r>
          </w:p>
        </w:tc>
        <w:tc>
          <w:tcPr>
            <w:gridSpan w:val="2"/>
            <w:tcBorders>
              <w:bottom w:color="000000" w:space="0" w:sz="4" w:val="single"/>
            </w:tcBorders>
            <w:shd w:fill="808080" w:val="clear"/>
          </w:tcPr>
          <w:p w:rsidR="00000000" w:rsidDel="00000000" w:rsidP="00000000" w:rsidRDefault="00000000" w:rsidRPr="00000000" w14:paraId="00000029">
            <w:pPr>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Time it takes to become spent</w:t>
            </w:r>
          </w:p>
        </w:tc>
      </w:tr>
      <w:tr>
        <w:trPr>
          <w:cantSplit w:val="0"/>
          <w:tblHeader w:val="0"/>
        </w:trPr>
        <w:tc>
          <w:tcPr>
            <w:gridSpan w:val="2"/>
            <w:vMerge w:val="continue"/>
            <w:shd w:fill="4f81bd"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02D">
            <w:pPr>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Adult (18+) at conviction/disposal</w:t>
            </w:r>
          </w:p>
        </w:tc>
        <w:tc>
          <w:tcPr>
            <w:tcBorders>
              <w:bottom w:color="000000" w:space="0" w:sz="4" w:val="single"/>
            </w:tcBorders>
            <w:shd w:fill="4f81bd" w:val="clear"/>
            <w:vAlign w:val="center"/>
          </w:tcPr>
          <w:p w:rsidR="00000000" w:rsidDel="00000000" w:rsidP="00000000" w:rsidRDefault="00000000" w:rsidRPr="00000000" w14:paraId="0000002E">
            <w:pPr>
              <w:jc w:val="center"/>
              <w:rPr>
                <w:rFonts w:ascii="Arial" w:cs="Arial" w:eastAsia="Arial" w:hAnsi="Arial"/>
                <w:b w:val="1"/>
                <w:color w:val="ffffff"/>
              </w:rPr>
            </w:pPr>
            <w:r w:rsidDel="00000000" w:rsidR="00000000" w:rsidRPr="00000000">
              <w:rPr>
                <w:rFonts w:ascii="Arial" w:cs="Arial" w:eastAsia="Arial" w:hAnsi="Arial"/>
                <w:b w:val="1"/>
                <w:color w:val="ffffff"/>
                <w:rtl w:val="0"/>
              </w:rPr>
              <w:t xml:space="preserve">Young person (U18)at conviction/disposal</w:t>
            </w:r>
          </w:p>
        </w:tc>
      </w:tr>
      <w:tr>
        <w:trPr>
          <w:cantSplit w:val="0"/>
          <w:tblHeader w:val="0"/>
        </w:trPr>
        <w:tc>
          <w:tcPr>
            <w:gridSpan w:val="2"/>
            <w:shd w:fill="4f81bd" w:val="clear"/>
            <w:vAlign w:val="center"/>
          </w:tcPr>
          <w:p w:rsidR="00000000" w:rsidDel="00000000" w:rsidP="00000000" w:rsidRDefault="00000000" w:rsidRPr="00000000" w14:paraId="0000002F">
            <w:pPr>
              <w:widowControl w:val="0"/>
              <w:spacing w:line="276" w:lineRule="auto"/>
              <w:rPr>
                <w:rFonts w:ascii="Arial" w:cs="Arial" w:eastAsia="Arial" w:hAnsi="Arial"/>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031">
            <w:pPr>
              <w:jc w:val="center"/>
              <w:rPr>
                <w:rFonts w:ascii="Arial" w:cs="Arial" w:eastAsia="Arial" w:hAnsi="Arial"/>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032">
            <w:pPr>
              <w:jc w:val="center"/>
              <w:rPr>
                <w:rFonts w:ascii="Arial" w:cs="Arial" w:eastAsia="Arial" w:hAnsi="Arial"/>
                <w:b w:val="1"/>
                <w:color w:val="ffffff"/>
              </w:rPr>
            </w:pPr>
            <w:r w:rsidDel="00000000" w:rsidR="00000000" w:rsidRPr="00000000">
              <w:rPr>
                <w:rtl w:val="0"/>
              </w:rPr>
            </w:r>
          </w:p>
        </w:tc>
      </w:tr>
      <w:tr>
        <w:trPr>
          <w:cantSplit w:val="0"/>
          <w:tblHeader w:val="0"/>
        </w:trPr>
        <w:tc>
          <w:tcPr>
            <w:vMerge w:val="restart"/>
            <w:shd w:fill="dbe5f1" w:val="clear"/>
          </w:tcPr>
          <w:p w:rsidR="00000000" w:rsidDel="00000000" w:rsidP="00000000" w:rsidRDefault="00000000" w:rsidRPr="00000000" w14:paraId="0000003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Prison (Including suspended prison sentences)</w:t>
            </w:r>
          </w:p>
        </w:tc>
        <w:tc>
          <w:tcPr>
            <w:shd w:fill="dbe5f1" w:val="clear"/>
          </w:tcPr>
          <w:p w:rsidR="00000000" w:rsidDel="00000000" w:rsidP="00000000" w:rsidRDefault="00000000" w:rsidRPr="00000000" w14:paraId="0000003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Over 4 years or public protection sentence</w:t>
            </w:r>
          </w:p>
        </w:tc>
        <w:tc>
          <w:tcPr>
            <w:shd w:fill="dbe5f1" w:val="clear"/>
          </w:tcPr>
          <w:p w:rsidR="00000000" w:rsidDel="00000000" w:rsidP="00000000" w:rsidRDefault="00000000" w:rsidRPr="00000000" w14:paraId="0000003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Never spent</w:t>
            </w:r>
          </w:p>
        </w:tc>
        <w:tc>
          <w:tcPr>
            <w:shd w:fill="dbe5f1" w:val="clear"/>
          </w:tcPr>
          <w:p w:rsidR="00000000" w:rsidDel="00000000" w:rsidP="00000000" w:rsidRDefault="00000000" w:rsidRPr="00000000" w14:paraId="0000003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Never spent</w:t>
            </w:r>
          </w:p>
        </w:tc>
      </w:tr>
      <w:tr>
        <w:trPr>
          <w:cantSplit w:val="0"/>
          <w:tblHeader w:val="0"/>
        </w:trPr>
        <w:tc>
          <w:tcPr>
            <w:vMerge w:val="continue"/>
            <w:shd w:fill="dbe5f1"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dbe5f1" w:val="clear"/>
          </w:tcPr>
          <w:p w:rsidR="00000000" w:rsidDel="00000000" w:rsidP="00000000" w:rsidRDefault="00000000" w:rsidRPr="00000000" w14:paraId="0000003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More than 30 months and less than (or equal to) 4 years</w:t>
            </w:r>
          </w:p>
        </w:tc>
        <w:tc>
          <w:tcPr>
            <w:shd w:fill="dbe5f1" w:val="clear"/>
          </w:tcPr>
          <w:p w:rsidR="00000000" w:rsidDel="00000000" w:rsidP="00000000" w:rsidRDefault="00000000" w:rsidRPr="00000000" w14:paraId="0000003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+ 7 years*</w:t>
            </w:r>
          </w:p>
        </w:tc>
        <w:tc>
          <w:tcPr>
            <w:shd w:fill="dbe5f1" w:val="clear"/>
          </w:tcPr>
          <w:p w:rsidR="00000000" w:rsidDel="00000000" w:rsidP="00000000" w:rsidRDefault="00000000" w:rsidRPr="00000000" w14:paraId="0000003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+ 3 ½ years*</w:t>
            </w:r>
          </w:p>
        </w:tc>
      </w:tr>
      <w:tr>
        <w:trPr>
          <w:cantSplit w:val="0"/>
          <w:tblHeader w:val="0"/>
        </w:trPr>
        <w:tc>
          <w:tcPr>
            <w:vMerge w:val="continue"/>
            <w:shd w:fill="dbe5f1"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dbe5f1" w:val="clear"/>
          </w:tcPr>
          <w:p w:rsidR="00000000" w:rsidDel="00000000" w:rsidP="00000000" w:rsidRDefault="00000000" w:rsidRPr="00000000" w14:paraId="0000003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More than 6 months and less than (or equal to) 30 months</w:t>
            </w:r>
          </w:p>
        </w:tc>
        <w:tc>
          <w:tcPr>
            <w:shd w:fill="dbe5f1" w:val="clear"/>
          </w:tcPr>
          <w:p w:rsidR="00000000" w:rsidDel="00000000" w:rsidP="00000000" w:rsidRDefault="00000000" w:rsidRPr="00000000" w14:paraId="0000003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+ 4 years*</w:t>
            </w:r>
          </w:p>
        </w:tc>
        <w:tc>
          <w:tcPr>
            <w:shd w:fill="dbe5f1" w:val="clear"/>
          </w:tcPr>
          <w:p w:rsidR="00000000" w:rsidDel="00000000" w:rsidP="00000000" w:rsidRDefault="00000000" w:rsidRPr="00000000" w14:paraId="0000003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+ 2 years*</w:t>
            </w:r>
          </w:p>
        </w:tc>
      </w:tr>
      <w:tr>
        <w:trPr>
          <w:cantSplit w:val="0"/>
          <w:tblHeader w:val="0"/>
        </w:trPr>
        <w:tc>
          <w:tcPr>
            <w:vMerge w:val="continue"/>
            <w:shd w:fill="dbe5f1"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dbe5f1" w:val="clear"/>
          </w:tcPr>
          <w:p w:rsidR="00000000" w:rsidDel="00000000" w:rsidP="00000000" w:rsidRDefault="00000000" w:rsidRPr="00000000" w14:paraId="0000004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Less than (or equal to) 6 months</w:t>
            </w:r>
          </w:p>
        </w:tc>
        <w:tc>
          <w:tcPr>
            <w:shd w:fill="dbe5f1" w:val="clear"/>
          </w:tcPr>
          <w:p w:rsidR="00000000" w:rsidDel="00000000" w:rsidP="00000000" w:rsidRDefault="00000000" w:rsidRPr="00000000" w14:paraId="0000004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+ 2 years*</w:t>
            </w:r>
          </w:p>
        </w:tc>
        <w:tc>
          <w:tcPr>
            <w:shd w:fill="dbe5f1" w:val="clear"/>
          </w:tcPr>
          <w:p w:rsidR="00000000" w:rsidDel="00000000" w:rsidP="00000000" w:rsidRDefault="00000000" w:rsidRPr="00000000" w14:paraId="0000004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sentence + 18 months*</w:t>
            </w:r>
          </w:p>
        </w:tc>
      </w:tr>
      <w:tr>
        <w:trPr>
          <w:cantSplit w:val="0"/>
          <w:tblHeader w:val="0"/>
        </w:trPr>
        <w:tc>
          <w:tcPr>
            <w:gridSpan w:val="2"/>
            <w:shd w:fill="dbe5f1" w:val="clear"/>
          </w:tcPr>
          <w:p w:rsidR="00000000" w:rsidDel="00000000" w:rsidP="00000000" w:rsidRDefault="00000000" w:rsidRPr="00000000" w14:paraId="0000004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Community order / Youth rehabilitation order</w:t>
            </w:r>
          </w:p>
        </w:tc>
        <w:tc>
          <w:tcPr>
            <w:shd w:fill="dbe5f1" w:val="clear"/>
          </w:tcPr>
          <w:p w:rsidR="00000000" w:rsidDel="00000000" w:rsidP="00000000" w:rsidRDefault="00000000" w:rsidRPr="00000000" w14:paraId="0000004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length of the order +1 year</w:t>
            </w:r>
          </w:p>
        </w:tc>
        <w:tc>
          <w:tcPr>
            <w:shd w:fill="dbe5f1" w:val="clear"/>
          </w:tcPr>
          <w:p w:rsidR="00000000" w:rsidDel="00000000" w:rsidP="00000000" w:rsidRDefault="00000000" w:rsidRPr="00000000" w14:paraId="0000004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length of the order +1 year</w:t>
            </w:r>
          </w:p>
        </w:tc>
      </w:tr>
    </w:tbl>
    <w:p w:rsidR="00000000" w:rsidDel="00000000" w:rsidP="00000000" w:rsidRDefault="00000000" w:rsidRPr="00000000" w14:paraId="00000047">
      <w:pPr>
        <w:ind w:left="720" w:firstLine="0"/>
        <w:rPr>
          <w:rFonts w:ascii="Arial" w:cs="Arial" w:eastAsia="Arial" w:hAnsi="Arial"/>
          <w:b w:val="1"/>
          <w:color w:val="0070c0"/>
          <w:sz w:val="18"/>
          <w:szCs w:val="18"/>
        </w:rPr>
      </w:pPr>
      <w:r w:rsidDel="00000000" w:rsidR="00000000" w:rsidRPr="00000000">
        <w:rPr>
          <w:rFonts w:ascii="Arial" w:cs="Arial" w:eastAsia="Arial" w:hAnsi="Arial"/>
          <w:b w:val="1"/>
          <w:color w:val="0070c0"/>
          <w:sz w:val="18"/>
          <w:szCs w:val="18"/>
          <w:rtl w:val="0"/>
        </w:rPr>
        <w:t xml:space="preserve">*Sentence length includes time spent on licence</w:t>
      </w:r>
    </w:p>
    <w:tbl>
      <w:tblPr>
        <w:tblStyle w:val="Table2"/>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4"/>
        <w:gridCol w:w="2410"/>
        <w:gridCol w:w="2693"/>
        <w:tblGridChange w:id="0">
          <w:tblGrid>
            <w:gridCol w:w="4644"/>
            <w:gridCol w:w="2410"/>
            <w:gridCol w:w="2693"/>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48">
            <w:pPr>
              <w:rPr>
                <w:rFonts w:ascii="Arial" w:cs="Arial" w:eastAsia="Arial" w:hAnsi="Arial"/>
                <w:b w:val="1"/>
                <w:sz w:val="24"/>
                <w:szCs w:val="24"/>
              </w:rPr>
            </w:pPr>
            <w:r w:rsidDel="00000000" w:rsidR="00000000" w:rsidRPr="00000000">
              <w:rPr>
                <w:rFonts w:ascii="Arial" w:cs="Arial" w:eastAsia="Arial" w:hAnsi="Arial"/>
                <w:b w:val="1"/>
                <w:color w:val="0070c0"/>
                <w:sz w:val="24"/>
                <w:szCs w:val="24"/>
                <w:rtl w:val="0"/>
              </w:rPr>
              <w:t xml:space="preserve">Other community sentence (with no buffer period)</w:t>
            </w:r>
            <w:r w:rsidDel="00000000" w:rsidR="00000000" w:rsidRPr="00000000">
              <w:rPr>
                <w:rtl w:val="0"/>
              </w:rPr>
            </w:r>
          </w:p>
        </w:tc>
      </w:tr>
      <w:tr>
        <w:trPr>
          <w:cantSplit w:val="0"/>
          <w:tblHeader w:val="0"/>
        </w:trPr>
        <w:tc>
          <w:tcPr>
            <w:vMerge w:val="restart"/>
            <w:shd w:fill="4f81bd" w:val="clear"/>
            <w:vAlign w:val="center"/>
          </w:tcPr>
          <w:p w:rsidR="00000000" w:rsidDel="00000000" w:rsidP="00000000" w:rsidRDefault="00000000" w:rsidRPr="00000000" w14:paraId="0000004B">
            <w:pPr>
              <w:rPr>
                <w:rFonts w:ascii="Arial" w:cs="Arial" w:eastAsia="Arial" w:hAnsi="Arial"/>
                <w:b w:val="1"/>
                <w:sz w:val="22"/>
                <w:szCs w:val="22"/>
              </w:rPr>
            </w:pPr>
            <w:r w:rsidDel="00000000" w:rsidR="00000000" w:rsidRPr="00000000">
              <w:rPr>
                <w:rFonts w:ascii="Arial" w:cs="Arial" w:eastAsia="Arial" w:hAnsi="Arial"/>
                <w:b w:val="1"/>
                <w:color w:val="ffffff"/>
                <w:sz w:val="22"/>
                <w:szCs w:val="22"/>
                <w:rtl w:val="0"/>
              </w:rPr>
              <w:t xml:space="preserve">Sentence/Disposal</w:t>
            </w:r>
            <w:r w:rsidDel="00000000" w:rsidR="00000000" w:rsidRPr="00000000">
              <w:rPr>
                <w:rtl w:val="0"/>
              </w:rPr>
            </w:r>
          </w:p>
        </w:tc>
        <w:tc>
          <w:tcPr>
            <w:gridSpan w:val="2"/>
            <w:tcBorders>
              <w:bottom w:color="000000" w:space="0" w:sz="4" w:val="single"/>
            </w:tcBorders>
            <w:shd w:fill="808080" w:val="clear"/>
          </w:tcPr>
          <w:p w:rsidR="00000000" w:rsidDel="00000000" w:rsidP="00000000" w:rsidRDefault="00000000" w:rsidRPr="00000000" w14:paraId="0000004C">
            <w:pPr>
              <w:jc w:val="center"/>
              <w:rPr>
                <w:rFonts w:ascii="Arial" w:cs="Arial" w:eastAsia="Arial" w:hAnsi="Arial"/>
                <w:b w:val="1"/>
                <w:sz w:val="22"/>
                <w:szCs w:val="22"/>
              </w:rPr>
            </w:pPr>
            <w:r w:rsidDel="00000000" w:rsidR="00000000" w:rsidRPr="00000000">
              <w:rPr>
                <w:rFonts w:ascii="Arial" w:cs="Arial" w:eastAsia="Arial" w:hAnsi="Arial"/>
                <w:b w:val="1"/>
                <w:color w:val="ffffff"/>
                <w:sz w:val="22"/>
                <w:szCs w:val="22"/>
                <w:rtl w:val="0"/>
              </w:rPr>
              <w:t xml:space="preserve">Time it takes to become spent (from date of conviction)</w:t>
            </w:r>
            <w:r w:rsidDel="00000000" w:rsidR="00000000" w:rsidRPr="00000000">
              <w:rPr>
                <w:rtl w:val="0"/>
              </w:rPr>
            </w:r>
          </w:p>
        </w:tc>
      </w:tr>
      <w:tr>
        <w:trPr>
          <w:cantSplit w:val="0"/>
          <w:tblHeader w:val="0"/>
        </w:trPr>
        <w:tc>
          <w:tcPr>
            <w:vMerge w:val="continue"/>
            <w:shd w:fill="4f81bd" w:val="cle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04F">
            <w:pPr>
              <w:jc w:val="center"/>
              <w:rPr>
                <w:rFonts w:ascii="Arial" w:cs="Arial" w:eastAsia="Arial" w:hAnsi="Arial"/>
                <w:sz w:val="22"/>
                <w:szCs w:val="22"/>
              </w:rPr>
            </w:pPr>
            <w:r w:rsidDel="00000000" w:rsidR="00000000" w:rsidRPr="00000000">
              <w:rPr>
                <w:rFonts w:ascii="Arial" w:cs="Arial" w:eastAsia="Arial" w:hAnsi="Arial"/>
                <w:b w:val="1"/>
                <w:color w:val="ffffff"/>
                <w:sz w:val="22"/>
                <w:szCs w:val="22"/>
                <w:rtl w:val="0"/>
              </w:rPr>
              <w:t xml:space="preserve">Adult (18+) at conviction/disposal</w:t>
            </w: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050">
            <w:pPr>
              <w:jc w:val="center"/>
              <w:rPr>
                <w:rFonts w:ascii="Arial" w:cs="Arial" w:eastAsia="Arial" w:hAnsi="Arial"/>
              </w:rPr>
            </w:pPr>
            <w:r w:rsidDel="00000000" w:rsidR="00000000" w:rsidRPr="00000000">
              <w:rPr>
                <w:rFonts w:ascii="Arial" w:cs="Arial" w:eastAsia="Arial" w:hAnsi="Arial"/>
                <w:b w:val="1"/>
                <w:color w:val="ffffff"/>
                <w:rtl w:val="0"/>
              </w:rPr>
              <w:t xml:space="preserve">Young person (U18)at conviction/disposal</w:t>
            </w: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05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Fine</w:t>
            </w:r>
          </w:p>
        </w:tc>
        <w:tc>
          <w:tcPr>
            <w:shd w:fill="dbe5f1" w:val="clear"/>
          </w:tcPr>
          <w:p w:rsidR="00000000" w:rsidDel="00000000" w:rsidP="00000000" w:rsidRDefault="00000000" w:rsidRPr="00000000" w14:paraId="0000005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 year</w:t>
            </w:r>
          </w:p>
        </w:tc>
        <w:tc>
          <w:tcPr>
            <w:shd w:fill="dbe5f1" w:val="clear"/>
          </w:tcPr>
          <w:p w:rsidR="00000000" w:rsidDel="00000000" w:rsidP="00000000" w:rsidRDefault="00000000" w:rsidRPr="00000000" w14:paraId="00000053">
            <w:pPr>
              <w:jc w:val="center"/>
              <w:rPr>
                <w:rFonts w:ascii="Arial" w:cs="Arial" w:eastAsia="Arial" w:hAnsi="Arial"/>
              </w:rPr>
            </w:pPr>
            <w:r w:rsidDel="00000000" w:rsidR="00000000" w:rsidRPr="00000000">
              <w:rPr>
                <w:rFonts w:ascii="Arial" w:cs="Arial" w:eastAsia="Arial" w:hAnsi="Arial"/>
                <w:rtl w:val="0"/>
              </w:rPr>
              <w:t xml:space="preserve">6 months</w:t>
            </w:r>
          </w:p>
        </w:tc>
      </w:tr>
      <w:tr>
        <w:trPr>
          <w:cantSplit w:val="0"/>
          <w:tblHeader w:val="0"/>
        </w:trPr>
        <w:tc>
          <w:tcPr>
            <w:shd w:fill="dbe5f1" w:val="clear"/>
          </w:tcPr>
          <w:p w:rsidR="00000000" w:rsidDel="00000000" w:rsidP="00000000" w:rsidRDefault="00000000" w:rsidRPr="00000000" w14:paraId="0000005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Conditional discharge</w:t>
            </w:r>
          </w:p>
        </w:tc>
        <w:tc>
          <w:tcPr>
            <w:shd w:fill="dbe5f1" w:val="clear"/>
          </w:tcPr>
          <w:p w:rsidR="00000000" w:rsidDel="00000000" w:rsidP="00000000" w:rsidRDefault="00000000" w:rsidRPr="00000000" w14:paraId="0000005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 of the order</w:t>
            </w:r>
          </w:p>
        </w:tc>
        <w:tc>
          <w:tcPr>
            <w:shd w:fill="dbe5f1" w:val="clear"/>
          </w:tcPr>
          <w:p w:rsidR="00000000" w:rsidDel="00000000" w:rsidP="00000000" w:rsidRDefault="00000000" w:rsidRPr="00000000" w14:paraId="00000056">
            <w:pPr>
              <w:jc w:val="center"/>
              <w:rPr>
                <w:rFonts w:ascii="Arial" w:cs="Arial" w:eastAsia="Arial" w:hAnsi="Arial"/>
              </w:rPr>
            </w:pPr>
            <w:r w:rsidDel="00000000" w:rsidR="00000000" w:rsidRPr="00000000">
              <w:rPr>
                <w:rFonts w:ascii="Arial" w:cs="Arial" w:eastAsia="Arial" w:hAnsi="Arial"/>
                <w:rtl w:val="0"/>
              </w:rPr>
              <w:t xml:space="preserve">Length of the order</w:t>
            </w:r>
          </w:p>
        </w:tc>
      </w:tr>
      <w:tr>
        <w:trPr>
          <w:cantSplit w:val="0"/>
          <w:tblHeader w:val="0"/>
        </w:trPr>
        <w:tc>
          <w:tcPr>
            <w:shd w:fill="dbe5f1" w:val="clear"/>
          </w:tcPr>
          <w:p w:rsidR="00000000" w:rsidDel="00000000" w:rsidP="00000000" w:rsidRDefault="00000000" w:rsidRPr="00000000" w14:paraId="0000005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Absolute discharge</w:t>
            </w:r>
          </w:p>
        </w:tc>
        <w:tc>
          <w:tcPr>
            <w:gridSpan w:val="2"/>
            <w:shd w:fill="dbe5f1" w:val="clear"/>
            <w:vAlign w:val="center"/>
          </w:tcPr>
          <w:p w:rsidR="00000000" w:rsidDel="00000000" w:rsidP="00000000" w:rsidRDefault="00000000" w:rsidRPr="00000000" w14:paraId="0000005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Spent immediately</w:t>
            </w:r>
          </w:p>
        </w:tc>
      </w:tr>
      <w:tr>
        <w:trPr>
          <w:cantSplit w:val="0"/>
          <w:tblHeader w:val="0"/>
        </w:trPr>
        <w:tc>
          <w:tcPr>
            <w:shd w:fill="dbe5f1" w:val="clear"/>
          </w:tcPr>
          <w:p w:rsidR="00000000" w:rsidDel="00000000" w:rsidP="00000000" w:rsidRDefault="00000000" w:rsidRPr="00000000" w14:paraId="0000005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Conditional caution / youth conditional caution</w:t>
            </w:r>
          </w:p>
        </w:tc>
        <w:tc>
          <w:tcPr>
            <w:shd w:fill="dbe5f1" w:val="clear"/>
          </w:tcPr>
          <w:p w:rsidR="00000000" w:rsidDel="00000000" w:rsidP="00000000" w:rsidRDefault="00000000" w:rsidRPr="00000000" w14:paraId="0000005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 months (or when it ends, if earlier</w:t>
            </w:r>
          </w:p>
        </w:tc>
        <w:tc>
          <w:tcPr>
            <w:shd w:fill="dbe5f1" w:val="clear"/>
          </w:tcPr>
          <w:p w:rsidR="00000000" w:rsidDel="00000000" w:rsidP="00000000" w:rsidRDefault="00000000" w:rsidRPr="00000000" w14:paraId="0000005C">
            <w:pPr>
              <w:jc w:val="center"/>
              <w:rPr>
                <w:rFonts w:ascii="Arial" w:cs="Arial" w:eastAsia="Arial" w:hAnsi="Arial"/>
              </w:rPr>
            </w:pPr>
            <w:r w:rsidDel="00000000" w:rsidR="00000000" w:rsidRPr="00000000">
              <w:rPr>
                <w:rFonts w:ascii="Arial" w:cs="Arial" w:eastAsia="Arial" w:hAnsi="Arial"/>
                <w:rtl w:val="0"/>
              </w:rPr>
              <w:t xml:space="preserve">3 months</w:t>
            </w:r>
          </w:p>
        </w:tc>
      </w:tr>
      <w:tr>
        <w:trPr>
          <w:cantSplit w:val="0"/>
          <w:tblHeader w:val="0"/>
        </w:trPr>
        <w:tc>
          <w:tcPr>
            <w:shd w:fill="dbe5f1" w:val="clear"/>
          </w:tcPr>
          <w:p w:rsidR="00000000" w:rsidDel="00000000" w:rsidP="00000000" w:rsidRDefault="00000000" w:rsidRPr="00000000" w14:paraId="0000005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Simple caution / youth caution</w:t>
            </w:r>
          </w:p>
        </w:tc>
        <w:tc>
          <w:tcPr>
            <w:gridSpan w:val="2"/>
            <w:shd w:fill="dbe5f1" w:val="clear"/>
            <w:vAlign w:val="center"/>
          </w:tcPr>
          <w:p w:rsidR="00000000" w:rsidDel="00000000" w:rsidP="00000000" w:rsidRDefault="00000000" w:rsidRPr="00000000" w14:paraId="000000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Spent immediately</w:t>
            </w:r>
          </w:p>
        </w:tc>
      </w:tr>
      <w:tr>
        <w:trPr>
          <w:cantSplit w:val="0"/>
          <w:tblHeader w:val="0"/>
        </w:trPr>
        <w:tc>
          <w:tcPr>
            <w:shd w:fill="dbe5f1" w:val="clear"/>
          </w:tcPr>
          <w:p w:rsidR="00000000" w:rsidDel="00000000" w:rsidP="00000000" w:rsidRDefault="00000000" w:rsidRPr="00000000" w14:paraId="0000006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Compensation order</w:t>
            </w:r>
          </w:p>
        </w:tc>
        <w:tc>
          <w:tcPr>
            <w:gridSpan w:val="2"/>
            <w:shd w:fill="dbe5f1" w:val="clear"/>
            <w:vAlign w:val="center"/>
          </w:tcPr>
          <w:p w:rsidR="00000000" w:rsidDel="00000000" w:rsidP="00000000" w:rsidRDefault="00000000" w:rsidRPr="00000000" w14:paraId="000000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Once it is Paid in Full</w:t>
            </w:r>
          </w:p>
        </w:tc>
      </w:tr>
      <w:tr>
        <w:trPr>
          <w:cantSplit w:val="0"/>
          <w:tblHeader w:val="0"/>
        </w:trPr>
        <w:tc>
          <w:tcPr>
            <w:shd w:fill="dbe5f1" w:val="clear"/>
          </w:tcPr>
          <w:p w:rsidR="00000000" w:rsidDel="00000000" w:rsidP="00000000" w:rsidRDefault="00000000" w:rsidRPr="00000000" w14:paraId="0000006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Bind over</w:t>
            </w:r>
          </w:p>
        </w:tc>
        <w:tc>
          <w:tcPr>
            <w:gridSpan w:val="2"/>
            <w:vMerge w:val="restart"/>
            <w:shd w:fill="dbe5f1" w:val="clear"/>
            <w:vAlign w:val="center"/>
          </w:tcPr>
          <w:p w:rsidR="00000000" w:rsidDel="00000000" w:rsidP="00000000" w:rsidRDefault="00000000" w:rsidRPr="00000000" w14:paraId="000000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 of the Order</w:t>
            </w:r>
          </w:p>
        </w:tc>
      </w:tr>
      <w:tr>
        <w:trPr>
          <w:cantSplit w:val="0"/>
          <w:tblHeader w:val="0"/>
        </w:trPr>
        <w:tc>
          <w:tcPr>
            <w:shd w:fill="dbe5f1" w:val="clear"/>
          </w:tcPr>
          <w:p w:rsidR="00000000" w:rsidDel="00000000" w:rsidP="00000000" w:rsidRDefault="00000000" w:rsidRPr="00000000" w14:paraId="0000006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Hospital order (with or without restrictions</w:t>
            </w:r>
          </w:p>
        </w:tc>
        <w:tc>
          <w:tcPr>
            <w:gridSpan w:val="2"/>
            <w:vMerge w:val="continue"/>
            <w:shd w:fill="dbe5f1" w:val="cle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06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Referral order</w:t>
            </w:r>
          </w:p>
        </w:tc>
        <w:tc>
          <w:tcPr>
            <w:gridSpan w:val="2"/>
            <w:vMerge w:val="continue"/>
            <w:shd w:fill="dbe5f1" w:val="cle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06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Reparation order</w:t>
            </w:r>
          </w:p>
        </w:tc>
        <w:tc>
          <w:tcPr>
            <w:gridSpan w:val="2"/>
            <w:shd w:fill="dbe5f1" w:val="clear"/>
            <w:vAlign w:val="center"/>
          </w:tcPr>
          <w:p w:rsidR="00000000" w:rsidDel="00000000" w:rsidP="00000000" w:rsidRDefault="00000000" w:rsidRPr="00000000" w14:paraId="000000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Spent immediately</w:t>
            </w:r>
          </w:p>
        </w:tc>
      </w:tr>
      <w:tr>
        <w:trPr>
          <w:cantSplit w:val="0"/>
          <w:tblHeader w:val="0"/>
        </w:trPr>
        <w:tc>
          <w:tcPr>
            <w:shd w:fill="dbe5f1" w:val="clear"/>
          </w:tcPr>
          <w:p w:rsidR="00000000" w:rsidDel="00000000" w:rsidP="00000000" w:rsidRDefault="00000000" w:rsidRPr="00000000" w14:paraId="0000006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Endorsement (imposed by a court)</w:t>
            </w:r>
          </w:p>
        </w:tc>
        <w:tc>
          <w:tcPr>
            <w:shd w:fill="dbe5f1" w:val="clea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 years</w:t>
            </w:r>
          </w:p>
        </w:tc>
        <w:tc>
          <w:tcPr>
            <w:shd w:fill="dbe5f1" w:val="clear"/>
          </w:tcPr>
          <w:p w:rsidR="00000000" w:rsidDel="00000000" w:rsidP="00000000" w:rsidRDefault="00000000" w:rsidRPr="00000000" w14:paraId="00000071">
            <w:pPr>
              <w:jc w:val="center"/>
              <w:rPr>
                <w:rFonts w:ascii="Arial" w:cs="Arial" w:eastAsia="Arial" w:hAnsi="Arial"/>
              </w:rPr>
            </w:pPr>
            <w:r w:rsidDel="00000000" w:rsidR="00000000" w:rsidRPr="00000000">
              <w:rPr>
                <w:rFonts w:ascii="Arial" w:cs="Arial" w:eastAsia="Arial" w:hAnsi="Arial"/>
                <w:rtl w:val="0"/>
              </w:rPr>
              <w:t xml:space="preserve">2½ years</w:t>
            </w:r>
          </w:p>
        </w:tc>
      </w:tr>
      <w:tr>
        <w:trPr>
          <w:cantSplit w:val="0"/>
          <w:tblHeader w:val="0"/>
        </w:trPr>
        <w:tc>
          <w:tcPr>
            <w:shd w:fill="dbe5f1" w:val="clear"/>
          </w:tcPr>
          <w:p w:rsidR="00000000" w:rsidDel="00000000" w:rsidP="00000000" w:rsidRDefault="00000000" w:rsidRPr="00000000" w14:paraId="0000007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Motoring disqualification (imposed by a court)</w:t>
            </w:r>
          </w:p>
        </w:tc>
        <w:tc>
          <w:tcPr>
            <w:gridSpan w:val="2"/>
            <w:shd w:fill="dbe5f1" w:val="clear"/>
            <w:vAlign w:val="center"/>
          </w:tcPr>
          <w:p w:rsidR="00000000" w:rsidDel="00000000" w:rsidP="00000000" w:rsidRDefault="00000000" w:rsidRPr="00000000" w14:paraId="0000007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 of the disqualification</w:t>
            </w:r>
          </w:p>
        </w:tc>
      </w:tr>
      <w:tr>
        <w:trPr>
          <w:cantSplit w:val="0"/>
          <w:tblHeader w:val="0"/>
        </w:trPr>
        <w:tc>
          <w:tcPr>
            <w:shd w:fill="dbe5f1" w:val="clear"/>
          </w:tcPr>
          <w:p w:rsidR="00000000" w:rsidDel="00000000" w:rsidP="00000000" w:rsidRDefault="00000000" w:rsidRPr="00000000" w14:paraId="00000075">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Relevant order</w:t>
            </w:r>
          </w:p>
        </w:tc>
        <w:tc>
          <w:tcPr>
            <w:gridSpan w:val="2"/>
            <w:shd w:fill="dbe5f1" w:val="clear"/>
            <w:vAlign w:val="center"/>
          </w:tcPr>
          <w:p w:rsidR="00000000" w:rsidDel="00000000" w:rsidP="00000000" w:rsidRDefault="00000000" w:rsidRPr="00000000" w14:paraId="0000007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 of the order</w:t>
            </w:r>
          </w:p>
        </w:tc>
      </w:tr>
    </w:tbl>
    <w:p w:rsidR="00000000" w:rsidDel="00000000" w:rsidP="00000000" w:rsidRDefault="00000000" w:rsidRPr="00000000" w14:paraId="00000078">
      <w:pPr>
        <w:rPr>
          <w:b w:val="1"/>
          <w:highlight w:val="yellow"/>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tabs>
          <w:tab w:val="left" w:pos="1251"/>
        </w:tabs>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tabs>
        <w:tab w:val="center" w:pos="4513"/>
        <w:tab w:val="right" w:pos="9026"/>
      </w:tabs>
      <w:spacing w:after="0" w:line="240" w:lineRule="auto"/>
      <w:rPr>
        <w:rFonts w:ascii="Arial" w:cs="Arial" w:eastAsia="Arial" w:hAnsi="Arial"/>
        <w:sz w:val="20"/>
        <w:szCs w:val="20"/>
      </w:rPr>
    </w:pPr>
    <w:bookmarkStart w:colFirst="0" w:colLast="0" w:name="_heading=h.ybmr8xmu3vb0" w:id="7"/>
    <w:bookmarkEnd w:id="7"/>
    <w:r w:rsidDel="00000000" w:rsidR="00000000" w:rsidRPr="00000000">
      <w:rPr>
        <w:rFonts w:ascii="Arial" w:cs="Arial" w:eastAsia="Arial" w:hAnsi="Arial"/>
        <w:sz w:val="20"/>
        <w:szCs w:val="20"/>
        <w:rtl w:val="0"/>
      </w:rPr>
      <w:t xml:space="preserve">Workplace Service Transformation Programme (WSTP) – Performance Partner</w:t>
    </w:r>
  </w:p>
  <w:p w:rsidR="00000000" w:rsidDel="00000000" w:rsidP="00000000" w:rsidRDefault="00000000" w:rsidRPr="00000000" w14:paraId="00000083">
    <w:pPr>
      <w:tabs>
        <w:tab w:val="center" w:pos="4513"/>
        <w:tab w:val="right" w:pos="9026"/>
      </w:tabs>
      <w:spacing w:after="0" w:line="240" w:lineRule="auto"/>
      <w:rPr/>
    </w:pPr>
    <w:bookmarkStart w:colFirst="0" w:colLast="0" w:name="_heading=h.p6r0mouvxv1b" w:id="8"/>
    <w:bookmarkEnd w:id="8"/>
    <w:r w:rsidDel="00000000" w:rsidR="00000000" w:rsidRPr="00000000">
      <w:rPr>
        <w:rFonts w:ascii="Arial" w:cs="Arial" w:eastAsia="Arial" w:hAnsi="Arial"/>
        <w:sz w:val="20"/>
        <w:szCs w:val="20"/>
        <w:rtl w:val="0"/>
      </w:rPr>
      <w:t xml:space="preserve">Salesforce Reference – </w:t>
    </w:r>
    <w:r w:rsidDel="00000000" w:rsidR="00000000" w:rsidRPr="00000000">
      <w:rPr>
        <w:rFonts w:ascii="Roboto" w:cs="Roboto" w:eastAsia="Roboto" w:hAnsi="Roboto"/>
        <w:color w:val="202124"/>
        <w:sz w:val="20"/>
        <w:szCs w:val="20"/>
        <w:highlight w:val="white"/>
        <w:rtl w:val="0"/>
      </w:rPr>
      <w:t xml:space="preserve">CCB021A04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b w:val="1"/>
        <w:color w:val="000000"/>
        <w:rtl w:val="0"/>
      </w:rPr>
      <w:t xml:space="preserve">Call-Off Schedule 18 (Background Checks) Final v1.0</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5562510</wp:posOffset>
          </wp:positionH>
          <wp:positionV relativeFrom="paragraph">
            <wp:posOffset>-166005</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CLAUSEHEADING" w:customStyle="1">
    <w:name w:val="GPS L1 CLAUSE HEADING"/>
    <w:basedOn w:val="Normal"/>
    <w:next w:val="Normal"/>
    <w:link w:val="GPSL1CLAUSEHEADINGChar"/>
    <w:qFormat w:val="1"/>
    <w:rsid w:val="00A11709"/>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A11709"/>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A11709"/>
    <w:pPr>
      <w:numPr>
        <w:ilvl w:val="3"/>
      </w:numPr>
      <w:ind w:left="2592" w:hanging="936"/>
    </w:pPr>
  </w:style>
  <w:style w:type="paragraph" w:styleId="GPSL5numberedclause" w:customStyle="1">
    <w:name w:val="GPS L5 numbered clause"/>
    <w:basedOn w:val="GPSL4numberedclause"/>
    <w:qFormat w:val="1"/>
    <w:rsid w:val="00A11709"/>
    <w:pPr>
      <w:numPr>
        <w:ilvl w:val="4"/>
      </w:numPr>
    </w:pPr>
  </w:style>
  <w:style w:type="paragraph" w:styleId="GPSL2NumberedBoldHeading" w:customStyle="1">
    <w:name w:val="GPS L2 Numbered Bold Heading"/>
    <w:basedOn w:val="Normal"/>
    <w:qFormat w:val="1"/>
    <w:rsid w:val="00A11709"/>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rsid w:val="00A11709"/>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A11709"/>
    <w:rPr>
      <w:rFonts w:ascii="Calibri" w:cs="Arial" w:eastAsia="Times New Roman" w:hAnsi="Calibri"/>
      <w:lang w:eastAsia="zh-CN"/>
    </w:rPr>
  </w:style>
  <w:style w:type="character" w:styleId="GPSL4numberedclauseChar" w:customStyle="1">
    <w:name w:val="GPS L4 numbered clause Char"/>
    <w:link w:val="GPSL4numberedclause"/>
    <w:rsid w:val="00A11709"/>
    <w:rPr>
      <w:rFonts w:ascii="Calibri" w:cs="Arial" w:eastAsia="Times New Roman" w:hAnsi="Calibri"/>
      <w:lang w:eastAsia="zh-CN"/>
    </w:rPr>
  </w:style>
  <w:style w:type="character" w:styleId="GPSL1CLAUSEHEADINGChar" w:customStyle="1">
    <w:name w:val="GPS L1 CLAUSE HEADING Char"/>
    <w:link w:val="GPSL1CLAUSEHEADING"/>
    <w:rsid w:val="00A11709"/>
    <w:rPr>
      <w:rFonts w:ascii="Calibri" w:cs="Arial" w:eastAsia="STZhongsong" w:hAnsi="Calibri"/>
      <w:b w:val="1"/>
      <w:caps w:val="1"/>
      <w:lang w:eastAsia="zh-CN"/>
    </w:rPr>
  </w:style>
  <w:style w:type="paragraph" w:styleId="GPSL3Indent" w:customStyle="1">
    <w:name w:val="GPS L3 Indent"/>
    <w:basedOn w:val="Normal"/>
    <w:rsid w:val="00A11709"/>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pPr>
      <w:spacing w:after="0" w:line="240" w:lineRule="auto"/>
    </w:pPr>
    <w:rPr>
      <w:color w:val="000000"/>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Nz61zdd8sWdTHmt53PresJBMVQ==">AMUW2mW8yMe0xy+a0xIjPVivruwiPnGgKOIw8fZLhGTmnUIknRBaY5JKw7FcKjUTCOClgB3IBfp3l8x6HfIGbJZw8WjfjwpzGsVylUCDptRH/ARiNg62O5oqINZPti3chsdG+gINGd91+XvFhlXrnndHSSmPu4/5Tr9+eYrlYTwLBZ23UzXW75CbCCdfltMYsdLS7fMLL/dUHb+k5VQAEBj/fyS61IjglVLpe9BOKQ8Im5//USxTxBH14uS9jFPFS4JZ/wkzHfT78Qde/zYgtVtrda3HTXeE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2018-09-11T11:01:00Z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